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B41" w:rsidRDefault="00791599" w:rsidP="00266E59">
      <w:pPr>
        <w:jc w:val="center"/>
      </w:pPr>
      <w:proofErr w:type="gramStart"/>
      <w:r>
        <w:t>ERCOFTAC :</w:t>
      </w:r>
      <w:proofErr w:type="gramEnd"/>
      <w:r>
        <w:t xml:space="preserve"> Oil and Gas, 20-21 April 2016, Kongsberg, Oslo, Norway</w:t>
      </w:r>
    </w:p>
    <w:p w:rsidR="00214734" w:rsidRDefault="00214734" w:rsidP="00266E59">
      <w:pPr>
        <w:jc w:val="center"/>
      </w:pPr>
      <w:r>
        <w:t>Modelling &amp; Simulation – Best Practices &amp; Technology Trend</w:t>
      </w:r>
    </w:p>
    <w:p w:rsidR="004E6851" w:rsidRDefault="00791599" w:rsidP="00266E59">
      <w:pPr>
        <w:jc w:val="center"/>
      </w:pPr>
      <w:r>
        <w:t xml:space="preserve">Coordinators: </w:t>
      </w:r>
    </w:p>
    <w:p w:rsidR="00791599" w:rsidRDefault="00791599" w:rsidP="00266E59">
      <w:pPr>
        <w:jc w:val="center"/>
      </w:pPr>
      <w:proofErr w:type="gramStart"/>
      <w:r>
        <w:t xml:space="preserve">Dr. Richard E. Seoud </w:t>
      </w:r>
      <w:r w:rsidR="004E6851">
        <w:t>(ERCOFTAC)</w:t>
      </w:r>
      <w:r w:rsidR="00310FEE">
        <w:t xml:space="preserve">, </w:t>
      </w:r>
      <w:r w:rsidR="004E6851">
        <w:t>&amp;</w:t>
      </w:r>
      <w:r>
        <w:t xml:space="preserve"> </w:t>
      </w:r>
      <w:r w:rsidR="00266E59">
        <w:t>M</w:t>
      </w:r>
      <w:r>
        <w:t>r.</w:t>
      </w:r>
      <w:proofErr w:type="gramEnd"/>
      <w:r>
        <w:t xml:space="preserve"> </w:t>
      </w:r>
      <w:r w:rsidR="004E6851">
        <w:t xml:space="preserve"> </w:t>
      </w:r>
      <w:r>
        <w:t>Per Kjellgren (Kongsberg)</w:t>
      </w:r>
    </w:p>
    <w:p w:rsidR="00310FEE" w:rsidRDefault="00310FEE" w:rsidP="00310FEE">
      <w:pPr>
        <w:pStyle w:val="NormalWeb"/>
      </w:pPr>
      <w:r>
        <w:t>Background:</w:t>
      </w:r>
    </w:p>
    <w:p w:rsidR="00310FEE" w:rsidRDefault="00310FEE" w:rsidP="001127C8">
      <w:pPr>
        <w:pStyle w:val="NormalWeb"/>
        <w:jc w:val="both"/>
      </w:pPr>
      <w:r>
        <w:t>This 2016 seminar comes in a period where oil prices have been on the decline since June 2014, due to several factors, from</w:t>
      </w:r>
      <w:r w:rsidR="001127C8">
        <w:t xml:space="preserve"> </w:t>
      </w:r>
      <w:r>
        <w:t xml:space="preserve">the impact of Shale gas, economic slump in major emerging markets, to excess availability of low cost oil out of the Middle East. The aforementioned, imply the oil price will remain in a band, governed by an upper limit -Shale gas, and </w:t>
      </w:r>
      <w:proofErr w:type="gramStart"/>
      <w:r>
        <w:t>a lower</w:t>
      </w:r>
      <w:proofErr w:type="gramEnd"/>
      <w:r>
        <w:t xml:space="preserve"> limit- Middle East oil. Critically, this price band impacts strongly the producers and subsequently solution providers, with a particular view to Deepwater operations, resulting in major delays and push out development times, for new discoveries. However, when considering Subsea tiebacks, it should still support an economically viable position </w:t>
      </w:r>
      <w:r>
        <w:rPr>
          <w:rStyle w:val="Strong"/>
        </w:rPr>
        <w:t>in marginal and mature fields</w:t>
      </w:r>
      <w:r>
        <w:t>.</w:t>
      </w:r>
      <w:r w:rsidR="001127C8">
        <w:t xml:space="preserve"> </w:t>
      </w:r>
      <w:r>
        <w:t>Still, the industry as a whole has to navigate from current conditions.</w:t>
      </w:r>
      <w:r w:rsidR="001127C8">
        <w:t xml:space="preserve"> </w:t>
      </w:r>
      <w:r>
        <w:t>Therefore, our aim, here, is to technologically navigate practicable advances,</w:t>
      </w:r>
      <w:r w:rsidR="001127C8">
        <w:t xml:space="preserve"> </w:t>
      </w:r>
      <w:r>
        <w:t xml:space="preserve">in this energy sector, with a view to sustainable and viable operations. </w:t>
      </w:r>
    </w:p>
    <w:p w:rsidR="00310FEE" w:rsidRDefault="00310FEE" w:rsidP="001127C8">
      <w:pPr>
        <w:pStyle w:val="NormalWeb"/>
        <w:jc w:val="both"/>
      </w:pPr>
      <w:r>
        <w:t xml:space="preserve"> Thus, this particular energy sector has to re-think its approach, if it is to weather the status-quo, and lest we forget the carbon footprint, and the growing competitive technology march from renewables. This is where digitisation of the entire upstream-downstream process can lead to significant improvement in </w:t>
      </w:r>
      <w:proofErr w:type="gramStart"/>
      <w:r>
        <w:t>revenues ,</w:t>
      </w:r>
      <w:proofErr w:type="gramEnd"/>
      <w:r>
        <w:t xml:space="preserve"> cash-flows least of all operational excellence. Critically, CFD-FEM has a huge role and opportunity to play in that system, in further alleviating CAPEX and OPEX economics, in attaining a balanced technology portfolio, leading to the rapid deployment of proven cutting-edge technologies, from R&amp;D to the operational environment. </w:t>
      </w:r>
    </w:p>
    <w:p w:rsidR="00310FEE" w:rsidRDefault="00310FEE" w:rsidP="00310FEE">
      <w:pPr>
        <w:pStyle w:val="NormalWeb"/>
      </w:pPr>
      <w:r>
        <w:t>Thus, the seminar will focus on matters pertaining to recent advances in:</w:t>
      </w:r>
    </w:p>
    <w:p w:rsidR="00310FEE" w:rsidRDefault="00310FEE" w:rsidP="00310FEE">
      <w:pPr>
        <w:pStyle w:val="NormalWeb"/>
      </w:pPr>
      <w:r>
        <w:t xml:space="preserve">Multi-phase Flows, Subsea Operations, Real-Time Simulations, Risk Analysis and </w:t>
      </w:r>
      <w:proofErr w:type="gramStart"/>
      <w:r>
        <w:t>Safety ,</w:t>
      </w:r>
      <w:proofErr w:type="gramEnd"/>
      <w:r>
        <w:t xml:space="preserve"> and Machine Design (tbc).</w:t>
      </w:r>
    </w:p>
    <w:p w:rsidR="004E6851" w:rsidRDefault="00310FEE" w:rsidP="004E6851">
      <w:pPr>
        <w:pStyle w:val="NormalWeb"/>
      </w:pPr>
      <w:r>
        <w:t> In addition, a round table discussion will take place on the afternoon of 21st, to discuss the delivery of an ERCOFTAC Bulletin – O&amp;G Theme, Sep 2017.</w:t>
      </w:r>
    </w:p>
    <w:p w:rsidR="004E6851" w:rsidRPr="004E6851" w:rsidRDefault="004E6851" w:rsidP="004E6851">
      <w:pPr>
        <w:rPr>
          <w:rFonts w:ascii="Times New Roman" w:eastAsia="Times New Roman" w:hAnsi="Times New Roman" w:cs="Times New Roman"/>
          <w:sz w:val="24"/>
          <w:szCs w:val="24"/>
          <w:lang w:eastAsia="en-GB"/>
        </w:rPr>
      </w:pPr>
      <w:r>
        <w:br w:type="page"/>
      </w:r>
    </w:p>
    <w:p w:rsidR="00791599" w:rsidRPr="007739E9" w:rsidRDefault="00791599" w:rsidP="00791599">
      <w:pPr>
        <w:spacing w:after="0" w:line="360" w:lineRule="auto"/>
      </w:pPr>
    </w:p>
    <w:tbl>
      <w:tblPr>
        <w:tblStyle w:val="TableGrid"/>
        <w:tblW w:w="10031"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none" w:sz="0" w:space="0" w:color="auto"/>
          <w:insideV w:val="none" w:sz="0" w:space="0" w:color="auto"/>
        </w:tblBorders>
        <w:tblLook w:val="04A0" w:firstRow="1" w:lastRow="0" w:firstColumn="1" w:lastColumn="0" w:noHBand="0" w:noVBand="1"/>
      </w:tblPr>
      <w:tblGrid>
        <w:gridCol w:w="1384"/>
        <w:gridCol w:w="4777"/>
        <w:gridCol w:w="3870"/>
      </w:tblGrid>
      <w:tr w:rsidR="007D352C" w:rsidTr="007739E9">
        <w:tc>
          <w:tcPr>
            <w:tcW w:w="10031" w:type="dxa"/>
            <w:gridSpan w:val="3"/>
            <w:shd w:val="clear" w:color="auto" w:fill="548DD4" w:themeFill="text2" w:themeFillTint="99"/>
          </w:tcPr>
          <w:p w:rsidR="007D352C" w:rsidRDefault="007D352C" w:rsidP="00791599">
            <w:pPr>
              <w:spacing w:line="360" w:lineRule="auto"/>
            </w:pPr>
          </w:p>
        </w:tc>
      </w:tr>
      <w:tr w:rsidR="007D352C" w:rsidTr="007739E9">
        <w:tc>
          <w:tcPr>
            <w:tcW w:w="1384" w:type="dxa"/>
          </w:tcPr>
          <w:p w:rsidR="007D352C" w:rsidRDefault="007D352C" w:rsidP="00461903">
            <w:pPr>
              <w:spacing w:line="360" w:lineRule="auto"/>
            </w:pPr>
          </w:p>
        </w:tc>
        <w:tc>
          <w:tcPr>
            <w:tcW w:w="4777" w:type="dxa"/>
          </w:tcPr>
          <w:p w:rsidR="007D352C" w:rsidRDefault="007D352C" w:rsidP="007D352C">
            <w:pPr>
              <w:spacing w:line="360" w:lineRule="auto"/>
              <w:jc w:val="center"/>
            </w:pPr>
            <w:r>
              <w:t>20 April 2016</w:t>
            </w:r>
          </w:p>
          <w:p w:rsidR="007D352C" w:rsidRDefault="007D352C" w:rsidP="007D352C">
            <w:pPr>
              <w:spacing w:line="360" w:lineRule="auto"/>
              <w:jc w:val="center"/>
            </w:pPr>
            <w:r>
              <w:t>Introduction</w:t>
            </w:r>
          </w:p>
          <w:p w:rsidR="007D352C" w:rsidRDefault="007D352C" w:rsidP="007D352C">
            <w:pPr>
              <w:spacing w:line="360" w:lineRule="auto"/>
              <w:jc w:val="center"/>
            </w:pPr>
            <w:r>
              <w:t>Multiphase Flow Systems,</w:t>
            </w:r>
          </w:p>
          <w:p w:rsidR="007D352C" w:rsidRDefault="007D352C" w:rsidP="007D352C">
            <w:pPr>
              <w:spacing w:line="360" w:lineRule="auto"/>
              <w:jc w:val="center"/>
            </w:pPr>
            <w:r>
              <w:t>Risk &amp; Safety</w:t>
            </w:r>
          </w:p>
        </w:tc>
        <w:tc>
          <w:tcPr>
            <w:tcW w:w="3870" w:type="dxa"/>
          </w:tcPr>
          <w:p w:rsidR="007D352C" w:rsidRDefault="007D352C" w:rsidP="00791599">
            <w:pPr>
              <w:spacing w:line="360" w:lineRule="auto"/>
            </w:pPr>
          </w:p>
        </w:tc>
      </w:tr>
      <w:tr w:rsidR="005B5D75" w:rsidTr="007739E9">
        <w:tc>
          <w:tcPr>
            <w:tcW w:w="1384" w:type="dxa"/>
          </w:tcPr>
          <w:p w:rsidR="005B5D75" w:rsidRDefault="005B5D75" w:rsidP="00461903">
            <w:pPr>
              <w:spacing w:line="360" w:lineRule="auto"/>
            </w:pPr>
            <w:r>
              <w:t>8:</w:t>
            </w:r>
            <w:r w:rsidR="00461903">
              <w:t>15</w:t>
            </w:r>
            <w:r>
              <w:t>-</w:t>
            </w:r>
            <w:r w:rsidR="006514FF">
              <w:t>8:4</w:t>
            </w:r>
            <w:r w:rsidR="00461903">
              <w:t>0</w:t>
            </w:r>
          </w:p>
        </w:tc>
        <w:tc>
          <w:tcPr>
            <w:tcW w:w="4777" w:type="dxa"/>
          </w:tcPr>
          <w:p w:rsidR="005B5D75" w:rsidRDefault="005B5D75" w:rsidP="00791599">
            <w:pPr>
              <w:spacing w:line="360" w:lineRule="auto"/>
            </w:pPr>
            <w:r>
              <w:t>Coffee &amp; Registration</w:t>
            </w:r>
          </w:p>
        </w:tc>
        <w:tc>
          <w:tcPr>
            <w:tcW w:w="3870" w:type="dxa"/>
          </w:tcPr>
          <w:p w:rsidR="005B5D75" w:rsidRDefault="005B5D75" w:rsidP="00791599">
            <w:pPr>
              <w:spacing w:line="360" w:lineRule="auto"/>
            </w:pPr>
          </w:p>
        </w:tc>
      </w:tr>
      <w:tr w:rsidR="005B5D75" w:rsidTr="007739E9">
        <w:tc>
          <w:tcPr>
            <w:tcW w:w="1384" w:type="dxa"/>
          </w:tcPr>
          <w:p w:rsidR="005B5D75" w:rsidRDefault="006514FF" w:rsidP="00461903">
            <w:pPr>
              <w:spacing w:line="360" w:lineRule="auto"/>
            </w:pPr>
            <w:r>
              <w:t>8:4</w:t>
            </w:r>
            <w:r w:rsidR="00461903">
              <w:t>0</w:t>
            </w:r>
            <w:r>
              <w:t>-</w:t>
            </w:r>
            <w:r w:rsidR="00461903">
              <w:t>8:50</w:t>
            </w:r>
          </w:p>
        </w:tc>
        <w:tc>
          <w:tcPr>
            <w:tcW w:w="4777" w:type="dxa"/>
          </w:tcPr>
          <w:p w:rsidR="005B5D75" w:rsidRDefault="005B5D75" w:rsidP="00791599">
            <w:pPr>
              <w:spacing w:line="360" w:lineRule="auto"/>
            </w:pPr>
            <w:r>
              <w:t>Welcome &amp; Introduction</w:t>
            </w:r>
          </w:p>
        </w:tc>
        <w:tc>
          <w:tcPr>
            <w:tcW w:w="3870" w:type="dxa"/>
          </w:tcPr>
          <w:p w:rsidR="005B5D75" w:rsidRDefault="005B5D75" w:rsidP="00791599">
            <w:pPr>
              <w:spacing w:line="360" w:lineRule="auto"/>
            </w:pPr>
            <w:r>
              <w:t>Dr R Seoud, Mr P Kjellgren</w:t>
            </w:r>
          </w:p>
        </w:tc>
      </w:tr>
      <w:tr w:rsidR="005B5D75" w:rsidTr="007739E9">
        <w:tc>
          <w:tcPr>
            <w:tcW w:w="1384" w:type="dxa"/>
          </w:tcPr>
          <w:p w:rsidR="005B5D75" w:rsidRDefault="00461903" w:rsidP="00461903">
            <w:pPr>
              <w:spacing w:line="360" w:lineRule="auto"/>
            </w:pPr>
            <w:r>
              <w:t>8:50</w:t>
            </w:r>
            <w:r w:rsidR="006514FF">
              <w:t>-9:</w:t>
            </w:r>
            <w:r>
              <w:t>40</w:t>
            </w:r>
          </w:p>
        </w:tc>
        <w:tc>
          <w:tcPr>
            <w:tcW w:w="4777" w:type="dxa"/>
          </w:tcPr>
          <w:p w:rsidR="00094899" w:rsidRPr="00094899" w:rsidRDefault="00094899" w:rsidP="00094899">
            <w:pPr>
              <w:rPr>
                <w:rFonts w:ascii="Times New Roman" w:eastAsia="Times New Roman" w:hAnsi="Times New Roman" w:cs="Times New Roman"/>
                <w:color w:val="000000"/>
                <w:sz w:val="20"/>
                <w:szCs w:val="24"/>
                <w:lang w:eastAsia="en-GB"/>
              </w:rPr>
            </w:pPr>
            <w:r w:rsidRPr="00094899">
              <w:rPr>
                <w:rFonts w:ascii="Times New Roman" w:eastAsia="Times New Roman" w:hAnsi="Times New Roman" w:cs="Times New Roman"/>
                <w:color w:val="000000"/>
                <w:sz w:val="20"/>
                <w:szCs w:val="24"/>
                <w:lang w:eastAsia="en-GB"/>
              </w:rPr>
              <w:t xml:space="preserve">Resolving the O&amp;G flow assurance </w:t>
            </w:r>
            <w:proofErr w:type="spellStart"/>
            <w:r w:rsidRPr="00094899">
              <w:rPr>
                <w:rFonts w:ascii="Times New Roman" w:eastAsia="Times New Roman" w:hAnsi="Times New Roman" w:cs="Times New Roman"/>
                <w:color w:val="000000"/>
                <w:sz w:val="20"/>
                <w:szCs w:val="24"/>
                <w:lang w:eastAsia="en-GB"/>
              </w:rPr>
              <w:t>challanges:Useful</w:t>
            </w:r>
            <w:proofErr w:type="spellEnd"/>
            <w:r w:rsidRPr="00094899">
              <w:rPr>
                <w:rFonts w:ascii="Times New Roman" w:eastAsia="Times New Roman" w:hAnsi="Times New Roman" w:cs="Times New Roman"/>
                <w:color w:val="000000"/>
                <w:sz w:val="20"/>
                <w:szCs w:val="24"/>
                <w:lang w:eastAsia="en-GB"/>
              </w:rPr>
              <w:t xml:space="preserve"> simulations of system evolution- the need for a </w:t>
            </w:r>
            <w:proofErr w:type="spellStart"/>
            <w:r w:rsidRPr="00094899">
              <w:rPr>
                <w:rFonts w:ascii="Times New Roman" w:eastAsia="Times New Roman" w:hAnsi="Times New Roman" w:cs="Times New Roman"/>
                <w:color w:val="000000"/>
                <w:sz w:val="20"/>
                <w:szCs w:val="24"/>
                <w:lang w:eastAsia="en-GB"/>
              </w:rPr>
              <w:t>pragmmatic</w:t>
            </w:r>
            <w:proofErr w:type="spellEnd"/>
            <w:r w:rsidRPr="00094899">
              <w:rPr>
                <w:rFonts w:ascii="Times New Roman" w:eastAsia="Times New Roman" w:hAnsi="Times New Roman" w:cs="Times New Roman"/>
                <w:color w:val="000000"/>
                <w:sz w:val="20"/>
                <w:szCs w:val="24"/>
                <w:lang w:eastAsia="en-GB"/>
              </w:rPr>
              <w:t xml:space="preserve"> multi-level modelling approach</w:t>
            </w:r>
          </w:p>
          <w:p w:rsidR="005B5D75" w:rsidRDefault="005B5D75" w:rsidP="00791599">
            <w:pPr>
              <w:spacing w:line="360" w:lineRule="auto"/>
            </w:pPr>
          </w:p>
        </w:tc>
        <w:tc>
          <w:tcPr>
            <w:tcW w:w="3870" w:type="dxa"/>
          </w:tcPr>
          <w:p w:rsidR="005B5D75" w:rsidRDefault="005B5D75" w:rsidP="00791599">
            <w:pPr>
              <w:spacing w:line="360" w:lineRule="auto"/>
            </w:pPr>
            <w:r>
              <w:t>Prof. S T Johansen</w:t>
            </w:r>
            <w:r w:rsidR="007739E9">
              <w:t>, SINTEF</w:t>
            </w:r>
          </w:p>
        </w:tc>
      </w:tr>
      <w:tr w:rsidR="004227EE" w:rsidTr="007739E9">
        <w:tc>
          <w:tcPr>
            <w:tcW w:w="1384" w:type="dxa"/>
          </w:tcPr>
          <w:p w:rsidR="004227EE" w:rsidRDefault="00461903" w:rsidP="00461903">
            <w:pPr>
              <w:spacing w:line="360" w:lineRule="auto"/>
            </w:pPr>
            <w:r>
              <w:t>9:40-10:10</w:t>
            </w:r>
          </w:p>
        </w:tc>
        <w:tc>
          <w:tcPr>
            <w:tcW w:w="4777" w:type="dxa"/>
          </w:tcPr>
          <w:p w:rsidR="004227EE" w:rsidRPr="001F6A46" w:rsidRDefault="00461903" w:rsidP="00791599">
            <w:pPr>
              <w:spacing w:line="360" w:lineRule="auto"/>
              <w:rPr>
                <w:rFonts w:ascii="Arial" w:hAnsi="Arial" w:cs="Arial"/>
                <w:b/>
                <w:sz w:val="20"/>
                <w:szCs w:val="20"/>
              </w:rPr>
            </w:pPr>
            <w:r w:rsidRPr="00791599">
              <w:t>Wining a H2020 project’</w:t>
            </w:r>
          </w:p>
        </w:tc>
        <w:tc>
          <w:tcPr>
            <w:tcW w:w="3870" w:type="dxa"/>
          </w:tcPr>
          <w:p w:rsidR="004227EE" w:rsidRDefault="00461903" w:rsidP="00791599">
            <w:pPr>
              <w:spacing w:line="360" w:lineRule="auto"/>
            </w:pPr>
            <w:r>
              <w:t>Dr. F Chowdhury</w:t>
            </w:r>
            <w:r w:rsidR="007739E9">
              <w:t xml:space="preserve">, </w:t>
            </w:r>
            <w:proofErr w:type="spellStart"/>
            <w:r w:rsidR="007739E9">
              <w:t>Technovate</w:t>
            </w:r>
            <w:proofErr w:type="spellEnd"/>
          </w:p>
        </w:tc>
      </w:tr>
      <w:tr w:rsidR="00461903" w:rsidTr="007739E9">
        <w:tc>
          <w:tcPr>
            <w:tcW w:w="1384" w:type="dxa"/>
          </w:tcPr>
          <w:p w:rsidR="00461903" w:rsidRDefault="00461903" w:rsidP="00791599">
            <w:pPr>
              <w:spacing w:line="360" w:lineRule="auto"/>
            </w:pPr>
          </w:p>
        </w:tc>
        <w:tc>
          <w:tcPr>
            <w:tcW w:w="4777" w:type="dxa"/>
          </w:tcPr>
          <w:p w:rsidR="00461903" w:rsidRDefault="00461903" w:rsidP="00791599">
            <w:pPr>
              <w:spacing w:line="360" w:lineRule="auto"/>
              <w:rPr>
                <w:rFonts w:ascii="Arial" w:hAnsi="Arial" w:cs="Arial"/>
                <w:b/>
                <w:sz w:val="20"/>
                <w:szCs w:val="20"/>
              </w:rPr>
            </w:pPr>
            <w:r>
              <w:rPr>
                <w:rFonts w:ascii="Arial" w:hAnsi="Arial" w:cs="Arial"/>
                <w:b/>
                <w:sz w:val="20"/>
                <w:szCs w:val="20"/>
              </w:rPr>
              <w:t>Multiphase Flow Systems</w:t>
            </w:r>
          </w:p>
        </w:tc>
        <w:tc>
          <w:tcPr>
            <w:tcW w:w="3870" w:type="dxa"/>
          </w:tcPr>
          <w:p w:rsidR="00461903" w:rsidRDefault="00461903" w:rsidP="00791599">
            <w:pPr>
              <w:spacing w:line="360" w:lineRule="auto"/>
            </w:pPr>
          </w:p>
        </w:tc>
      </w:tr>
      <w:tr w:rsidR="005B5D75" w:rsidTr="007739E9">
        <w:tc>
          <w:tcPr>
            <w:tcW w:w="1384" w:type="dxa"/>
          </w:tcPr>
          <w:p w:rsidR="005B5D75" w:rsidRDefault="00461903" w:rsidP="00461903">
            <w:pPr>
              <w:spacing w:line="360" w:lineRule="auto"/>
            </w:pPr>
            <w:r>
              <w:t>10:10-10:50</w:t>
            </w:r>
          </w:p>
        </w:tc>
        <w:tc>
          <w:tcPr>
            <w:tcW w:w="4777" w:type="dxa"/>
          </w:tcPr>
          <w:p w:rsidR="005B5D75" w:rsidRPr="005B5D75" w:rsidRDefault="001F6A46" w:rsidP="001F6A46">
            <w:pPr>
              <w:rPr>
                <w:rFonts w:ascii="Arial" w:eastAsia="Times New Roman" w:hAnsi="Arial" w:cs="Arial"/>
                <w:sz w:val="20"/>
                <w:szCs w:val="20"/>
              </w:rPr>
            </w:pPr>
            <w:r w:rsidRPr="005B5D75">
              <w:rPr>
                <w:rFonts w:ascii="Arial" w:eastAsia="Times New Roman" w:hAnsi="Arial" w:cs="Arial"/>
                <w:sz w:val="20"/>
                <w:szCs w:val="20"/>
              </w:rPr>
              <w:t>Multiphase Flow Characterisation and Summary of Numerical Methods’</w:t>
            </w:r>
          </w:p>
        </w:tc>
        <w:tc>
          <w:tcPr>
            <w:tcW w:w="3870" w:type="dxa"/>
          </w:tcPr>
          <w:p w:rsidR="005B5D75" w:rsidRDefault="001F6A46" w:rsidP="00791599">
            <w:pPr>
              <w:spacing w:line="360" w:lineRule="auto"/>
            </w:pPr>
            <w:r>
              <w:t xml:space="preserve"> Prof. M. Sommerfeld</w:t>
            </w:r>
            <w:r w:rsidR="007739E9">
              <w:t>, Halle-Wittenberg</w:t>
            </w:r>
          </w:p>
        </w:tc>
      </w:tr>
      <w:tr w:rsidR="005B5D75" w:rsidTr="007739E9">
        <w:tc>
          <w:tcPr>
            <w:tcW w:w="1384" w:type="dxa"/>
          </w:tcPr>
          <w:p w:rsidR="005B5D75" w:rsidRDefault="00461903" w:rsidP="00461903">
            <w:pPr>
              <w:spacing w:line="360" w:lineRule="auto"/>
            </w:pPr>
            <w:r>
              <w:t>10:50-11:20</w:t>
            </w:r>
          </w:p>
        </w:tc>
        <w:tc>
          <w:tcPr>
            <w:tcW w:w="4777" w:type="dxa"/>
          </w:tcPr>
          <w:p w:rsidR="005B5D75" w:rsidRDefault="004227EE" w:rsidP="004227EE">
            <w:pPr>
              <w:spacing w:line="360" w:lineRule="auto"/>
              <w:ind w:left="720"/>
              <w:jc w:val="center"/>
            </w:pPr>
            <w:r>
              <w:t>Refreshments</w:t>
            </w:r>
          </w:p>
        </w:tc>
        <w:tc>
          <w:tcPr>
            <w:tcW w:w="3870" w:type="dxa"/>
          </w:tcPr>
          <w:p w:rsidR="005B5D75" w:rsidRDefault="005B5D75" w:rsidP="00791599">
            <w:pPr>
              <w:spacing w:line="360" w:lineRule="auto"/>
            </w:pPr>
          </w:p>
        </w:tc>
      </w:tr>
      <w:tr w:rsidR="001F6A46" w:rsidTr="007739E9">
        <w:tc>
          <w:tcPr>
            <w:tcW w:w="1384" w:type="dxa"/>
          </w:tcPr>
          <w:p w:rsidR="001F6A46" w:rsidRDefault="00461903" w:rsidP="00461903">
            <w:pPr>
              <w:spacing w:line="360" w:lineRule="auto"/>
            </w:pPr>
            <w:r>
              <w:t>11:20-12:00</w:t>
            </w:r>
          </w:p>
        </w:tc>
        <w:tc>
          <w:tcPr>
            <w:tcW w:w="4777" w:type="dxa"/>
          </w:tcPr>
          <w:p w:rsidR="00847E3C" w:rsidRPr="00847E3C" w:rsidRDefault="00847E3C" w:rsidP="00847E3C">
            <w:pPr>
              <w:rPr>
                <w:sz w:val="24"/>
              </w:rPr>
            </w:pPr>
            <w:r w:rsidRPr="00847E3C">
              <w:rPr>
                <w:rFonts w:asciiTheme="majorHAnsi" w:hAnsiTheme="majorHAnsi" w:cs="CMBX12"/>
                <w:szCs w:val="34"/>
              </w:rPr>
              <w:t>Modeling FCC Units - Effect of Particle Size</w:t>
            </w:r>
          </w:p>
          <w:p w:rsidR="001F6A46" w:rsidRPr="005B5D75" w:rsidRDefault="00847E3C" w:rsidP="00847E3C">
            <w:pPr>
              <w:spacing w:line="360" w:lineRule="auto"/>
              <w:rPr>
                <w:rFonts w:ascii="Arial" w:eastAsia="Times New Roman" w:hAnsi="Arial" w:cs="Arial"/>
                <w:sz w:val="20"/>
                <w:szCs w:val="20"/>
              </w:rPr>
            </w:pPr>
            <w:r w:rsidRPr="00847E3C">
              <w:rPr>
                <w:rFonts w:asciiTheme="majorHAnsi" w:hAnsiTheme="majorHAnsi" w:cs="CMBX12"/>
                <w:szCs w:val="34"/>
              </w:rPr>
              <w:t>Distribution using CFD Simulations</w:t>
            </w:r>
          </w:p>
        </w:tc>
        <w:tc>
          <w:tcPr>
            <w:tcW w:w="3870" w:type="dxa"/>
          </w:tcPr>
          <w:p w:rsidR="001F6A46" w:rsidRDefault="001F6A46" w:rsidP="00791599">
            <w:pPr>
              <w:spacing w:line="360" w:lineRule="auto"/>
            </w:pPr>
            <w:r>
              <w:t>Dr. S. Khanna</w:t>
            </w:r>
            <w:r w:rsidR="007739E9">
              <w:t>, BP</w:t>
            </w:r>
          </w:p>
        </w:tc>
      </w:tr>
      <w:tr w:rsidR="005B5D75" w:rsidTr="007739E9">
        <w:tc>
          <w:tcPr>
            <w:tcW w:w="1384" w:type="dxa"/>
          </w:tcPr>
          <w:p w:rsidR="005B5D75" w:rsidRDefault="00461903" w:rsidP="00461903">
            <w:pPr>
              <w:spacing w:line="360" w:lineRule="auto"/>
            </w:pPr>
            <w:r>
              <w:t>12:00-12:40</w:t>
            </w:r>
          </w:p>
        </w:tc>
        <w:tc>
          <w:tcPr>
            <w:tcW w:w="4777" w:type="dxa"/>
          </w:tcPr>
          <w:p w:rsidR="005B5D75" w:rsidRDefault="001F6A46" w:rsidP="001F6A46">
            <w:r>
              <w:t>Overview of the current CFD Multiphase Flow for Subsea and Future Development for Supporting Digital Application</w:t>
            </w:r>
          </w:p>
        </w:tc>
        <w:tc>
          <w:tcPr>
            <w:tcW w:w="3870" w:type="dxa"/>
          </w:tcPr>
          <w:p w:rsidR="005B5D75" w:rsidRDefault="001F6A46" w:rsidP="00791599">
            <w:pPr>
              <w:spacing w:line="360" w:lineRule="auto"/>
            </w:pPr>
            <w:r>
              <w:t>Dr. E Gharaibah</w:t>
            </w:r>
            <w:r w:rsidR="007739E9">
              <w:t>, GE</w:t>
            </w:r>
          </w:p>
        </w:tc>
      </w:tr>
      <w:tr w:rsidR="005B5D75" w:rsidTr="007739E9">
        <w:tc>
          <w:tcPr>
            <w:tcW w:w="1384" w:type="dxa"/>
          </w:tcPr>
          <w:p w:rsidR="005B5D75" w:rsidRDefault="00461903" w:rsidP="00461903">
            <w:pPr>
              <w:spacing w:line="360" w:lineRule="auto"/>
            </w:pPr>
            <w:r>
              <w:t>12:40-13:20:</w:t>
            </w:r>
          </w:p>
        </w:tc>
        <w:tc>
          <w:tcPr>
            <w:tcW w:w="4777" w:type="dxa"/>
          </w:tcPr>
          <w:p w:rsidR="005B5D75" w:rsidRDefault="00461903" w:rsidP="00461903">
            <w:pPr>
              <w:spacing w:line="360" w:lineRule="auto"/>
            </w:pPr>
            <w:r>
              <w:t>Lunch</w:t>
            </w:r>
          </w:p>
        </w:tc>
        <w:tc>
          <w:tcPr>
            <w:tcW w:w="3870" w:type="dxa"/>
          </w:tcPr>
          <w:p w:rsidR="005B5D75" w:rsidRDefault="005B5D75" w:rsidP="00791599">
            <w:pPr>
              <w:spacing w:line="360" w:lineRule="auto"/>
            </w:pPr>
          </w:p>
        </w:tc>
      </w:tr>
      <w:tr w:rsidR="00461903" w:rsidTr="007739E9">
        <w:tc>
          <w:tcPr>
            <w:tcW w:w="1384" w:type="dxa"/>
          </w:tcPr>
          <w:p w:rsidR="00461903" w:rsidRDefault="00461903" w:rsidP="00461903">
            <w:pPr>
              <w:spacing w:line="360" w:lineRule="auto"/>
            </w:pPr>
            <w:r>
              <w:t>13:20-14:00</w:t>
            </w:r>
          </w:p>
        </w:tc>
        <w:tc>
          <w:tcPr>
            <w:tcW w:w="4777" w:type="dxa"/>
          </w:tcPr>
          <w:p w:rsidR="00461903" w:rsidRPr="00791599" w:rsidRDefault="00461903" w:rsidP="00461903">
            <w:pPr>
              <w:spacing w:line="360" w:lineRule="auto"/>
            </w:pPr>
            <w:r w:rsidRPr="00791599">
              <w:t xml:space="preserve">1D </w:t>
            </w:r>
            <w:r w:rsidR="007D352C">
              <w:t>models for gas liquid slug flow</w:t>
            </w:r>
          </w:p>
          <w:p w:rsidR="00461903" w:rsidRPr="00310FEE" w:rsidRDefault="00461903" w:rsidP="001F6A46">
            <w:pPr>
              <w:spacing w:line="360" w:lineRule="auto"/>
              <w:rPr>
                <w:sz w:val="14"/>
              </w:rPr>
            </w:pPr>
          </w:p>
        </w:tc>
        <w:tc>
          <w:tcPr>
            <w:tcW w:w="3870" w:type="dxa"/>
          </w:tcPr>
          <w:p w:rsidR="00461903" w:rsidRDefault="00461903" w:rsidP="00791599">
            <w:pPr>
              <w:spacing w:line="360" w:lineRule="auto"/>
            </w:pPr>
            <w:r>
              <w:t xml:space="preserve">Prof. O. J. </w:t>
            </w:r>
            <w:proofErr w:type="spellStart"/>
            <w:r>
              <w:t>Nydal</w:t>
            </w:r>
            <w:proofErr w:type="spellEnd"/>
            <w:r w:rsidR="007739E9">
              <w:t>, NTNU</w:t>
            </w:r>
          </w:p>
        </w:tc>
      </w:tr>
      <w:tr w:rsidR="005B5D75" w:rsidTr="007739E9">
        <w:tc>
          <w:tcPr>
            <w:tcW w:w="1384" w:type="dxa"/>
          </w:tcPr>
          <w:p w:rsidR="005B5D75" w:rsidRDefault="00461903" w:rsidP="00791599">
            <w:pPr>
              <w:spacing w:line="360" w:lineRule="auto"/>
            </w:pPr>
            <w:r>
              <w:t>14:00-14:40</w:t>
            </w:r>
          </w:p>
        </w:tc>
        <w:tc>
          <w:tcPr>
            <w:tcW w:w="4777" w:type="dxa"/>
          </w:tcPr>
          <w:p w:rsidR="00461903" w:rsidRPr="00791599" w:rsidRDefault="00461903" w:rsidP="007D352C">
            <w:pPr>
              <w:rPr>
                <w:rFonts w:ascii="Arial" w:eastAsia="Times New Roman" w:hAnsi="Arial" w:cs="Arial"/>
                <w:sz w:val="18"/>
                <w:szCs w:val="32"/>
              </w:rPr>
            </w:pPr>
            <w:r w:rsidRPr="00791599">
              <w:rPr>
                <w:rFonts w:ascii="Arial" w:eastAsia="Times New Roman" w:hAnsi="Arial" w:cs="Arial"/>
                <w:sz w:val="18"/>
                <w:szCs w:val="32"/>
              </w:rPr>
              <w:t>Euler/Lagrange method for dispersed multiphase flows with technical applications’</w:t>
            </w:r>
          </w:p>
          <w:p w:rsidR="005B5D75" w:rsidRPr="00310FEE" w:rsidRDefault="005B5D75" w:rsidP="00791599">
            <w:pPr>
              <w:spacing w:line="360" w:lineRule="auto"/>
              <w:rPr>
                <w:sz w:val="18"/>
              </w:rPr>
            </w:pPr>
          </w:p>
        </w:tc>
        <w:tc>
          <w:tcPr>
            <w:tcW w:w="3870" w:type="dxa"/>
          </w:tcPr>
          <w:p w:rsidR="005B5D75" w:rsidRDefault="00461903" w:rsidP="00791599">
            <w:pPr>
              <w:spacing w:line="360" w:lineRule="auto"/>
            </w:pPr>
            <w:r>
              <w:t>Prof. M Sommerfeld</w:t>
            </w:r>
          </w:p>
        </w:tc>
      </w:tr>
      <w:tr w:rsidR="004227EE" w:rsidTr="007739E9">
        <w:tc>
          <w:tcPr>
            <w:tcW w:w="1384" w:type="dxa"/>
          </w:tcPr>
          <w:p w:rsidR="004227EE" w:rsidRDefault="00461903" w:rsidP="00791599">
            <w:pPr>
              <w:spacing w:line="360" w:lineRule="auto"/>
            </w:pPr>
            <w:r>
              <w:t xml:space="preserve"> 14:40-15:20</w:t>
            </w:r>
          </w:p>
        </w:tc>
        <w:tc>
          <w:tcPr>
            <w:tcW w:w="4777" w:type="dxa"/>
          </w:tcPr>
          <w:p w:rsidR="004227EE" w:rsidRDefault="00461903" w:rsidP="007D352C">
            <w:r w:rsidRPr="005B5D75">
              <w:rPr>
                <w:bCs/>
                <w:sz w:val="20"/>
              </w:rPr>
              <w:t>Assessment of polymer mechanical degradation using computational fluid dynamics (CFD) - Application to Enhanced-Oil recovery (EOR</w:t>
            </w:r>
            <w:r>
              <w:rPr>
                <w:bCs/>
                <w:sz w:val="20"/>
              </w:rPr>
              <w:t>)</w:t>
            </w:r>
          </w:p>
        </w:tc>
        <w:tc>
          <w:tcPr>
            <w:tcW w:w="3870" w:type="dxa"/>
          </w:tcPr>
          <w:p w:rsidR="004227EE" w:rsidRDefault="00461903" w:rsidP="00791599">
            <w:pPr>
              <w:spacing w:line="360" w:lineRule="auto"/>
            </w:pPr>
            <w:r>
              <w:t xml:space="preserve"> Dr. P. S. Imrani</w:t>
            </w:r>
            <w:r w:rsidR="007739E9">
              <w:t>, TNO</w:t>
            </w:r>
          </w:p>
        </w:tc>
      </w:tr>
      <w:tr w:rsidR="004227EE" w:rsidTr="007739E9">
        <w:tc>
          <w:tcPr>
            <w:tcW w:w="1384" w:type="dxa"/>
          </w:tcPr>
          <w:p w:rsidR="004227EE" w:rsidRDefault="00461903" w:rsidP="00791599">
            <w:pPr>
              <w:spacing w:line="360" w:lineRule="auto"/>
            </w:pPr>
            <w:r>
              <w:t>15:20-15:40</w:t>
            </w:r>
          </w:p>
        </w:tc>
        <w:tc>
          <w:tcPr>
            <w:tcW w:w="4777" w:type="dxa"/>
          </w:tcPr>
          <w:p w:rsidR="004227EE" w:rsidRDefault="00461903" w:rsidP="00791599">
            <w:pPr>
              <w:spacing w:line="360" w:lineRule="auto"/>
            </w:pPr>
            <w:r>
              <w:t>Refreshments</w:t>
            </w:r>
          </w:p>
        </w:tc>
        <w:tc>
          <w:tcPr>
            <w:tcW w:w="3870" w:type="dxa"/>
          </w:tcPr>
          <w:p w:rsidR="004227EE" w:rsidRDefault="004227EE" w:rsidP="00791599">
            <w:pPr>
              <w:spacing w:line="360" w:lineRule="auto"/>
            </w:pPr>
          </w:p>
        </w:tc>
      </w:tr>
      <w:tr w:rsidR="004227EE" w:rsidTr="007739E9">
        <w:tc>
          <w:tcPr>
            <w:tcW w:w="1384" w:type="dxa"/>
          </w:tcPr>
          <w:p w:rsidR="004227EE" w:rsidRDefault="004227EE" w:rsidP="00791599">
            <w:pPr>
              <w:spacing w:line="360" w:lineRule="auto"/>
            </w:pPr>
          </w:p>
        </w:tc>
        <w:tc>
          <w:tcPr>
            <w:tcW w:w="4777" w:type="dxa"/>
          </w:tcPr>
          <w:p w:rsidR="004227EE" w:rsidRDefault="00461903" w:rsidP="00791599">
            <w:pPr>
              <w:spacing w:line="360" w:lineRule="auto"/>
            </w:pPr>
            <w:r>
              <w:t xml:space="preserve"> </w:t>
            </w:r>
            <w:r w:rsidRPr="001F6A46">
              <w:rPr>
                <w:b/>
              </w:rPr>
              <w:t>Risk &amp; Safety</w:t>
            </w:r>
          </w:p>
        </w:tc>
        <w:tc>
          <w:tcPr>
            <w:tcW w:w="3870" w:type="dxa"/>
          </w:tcPr>
          <w:p w:rsidR="004227EE" w:rsidRDefault="00461903" w:rsidP="00791599">
            <w:pPr>
              <w:spacing w:line="360" w:lineRule="auto"/>
            </w:pPr>
            <w:r>
              <w:t xml:space="preserve"> </w:t>
            </w:r>
          </w:p>
        </w:tc>
      </w:tr>
      <w:tr w:rsidR="004227EE" w:rsidTr="007739E9">
        <w:tc>
          <w:tcPr>
            <w:tcW w:w="1384" w:type="dxa"/>
          </w:tcPr>
          <w:p w:rsidR="004227EE" w:rsidRDefault="00461903" w:rsidP="00791599">
            <w:pPr>
              <w:spacing w:line="360" w:lineRule="auto"/>
            </w:pPr>
            <w:r>
              <w:t>15:40-16:10</w:t>
            </w:r>
          </w:p>
        </w:tc>
        <w:tc>
          <w:tcPr>
            <w:tcW w:w="4777" w:type="dxa"/>
          </w:tcPr>
          <w:p w:rsidR="004227EE" w:rsidRPr="001F6A46" w:rsidRDefault="00461903" w:rsidP="007D352C">
            <w:pPr>
              <w:rPr>
                <w:b/>
              </w:rPr>
            </w:pPr>
            <w:r w:rsidRPr="00A57B10">
              <w:rPr>
                <w:rFonts w:ascii="Calibri" w:hAnsi="Calibri"/>
                <w:iCs/>
              </w:rPr>
              <w:t>Determining structural design loads by using CFD to simulate explosions within a probabilistic framework – current best practice and future trends</w:t>
            </w:r>
          </w:p>
        </w:tc>
        <w:tc>
          <w:tcPr>
            <w:tcW w:w="3870" w:type="dxa"/>
          </w:tcPr>
          <w:p w:rsidR="004227EE" w:rsidRDefault="00461903" w:rsidP="00791599">
            <w:pPr>
              <w:spacing w:line="360" w:lineRule="auto"/>
            </w:pPr>
            <w:r>
              <w:t>Dr. S. Howell</w:t>
            </w:r>
            <w:r w:rsidR="007739E9">
              <w:t>, Abercus</w:t>
            </w:r>
          </w:p>
        </w:tc>
      </w:tr>
      <w:tr w:rsidR="004227EE" w:rsidTr="007739E9">
        <w:tc>
          <w:tcPr>
            <w:tcW w:w="1384" w:type="dxa"/>
          </w:tcPr>
          <w:p w:rsidR="004227EE" w:rsidRDefault="00461903" w:rsidP="00791599">
            <w:pPr>
              <w:spacing w:line="360" w:lineRule="auto"/>
            </w:pPr>
            <w:r>
              <w:t>16:10-16:50</w:t>
            </w:r>
          </w:p>
        </w:tc>
        <w:tc>
          <w:tcPr>
            <w:tcW w:w="4777" w:type="dxa"/>
          </w:tcPr>
          <w:p w:rsidR="00461903" w:rsidRPr="00711179" w:rsidRDefault="00461903" w:rsidP="00461903">
            <w:pPr>
              <w:rPr>
                <w:rFonts w:ascii="Tahoma" w:hAnsi="Tahoma" w:cs="Tahoma"/>
                <w:sz w:val="20"/>
                <w:szCs w:val="20"/>
              </w:rPr>
            </w:pPr>
            <w:r>
              <w:rPr>
                <w:rFonts w:ascii="Tahoma" w:hAnsi="Tahoma" w:cs="Tahoma"/>
                <w:sz w:val="20"/>
                <w:szCs w:val="20"/>
              </w:rPr>
              <w:t>Mitigating the risk of flow induced pulsa</w:t>
            </w:r>
            <w:r w:rsidR="007D352C">
              <w:rPr>
                <w:rFonts w:ascii="Tahoma" w:hAnsi="Tahoma" w:cs="Tahoma"/>
                <w:sz w:val="20"/>
                <w:szCs w:val="20"/>
              </w:rPr>
              <w:t>tions damaging subsea manifolds</w:t>
            </w:r>
          </w:p>
          <w:p w:rsidR="004227EE" w:rsidRPr="00310FEE" w:rsidRDefault="004227EE" w:rsidP="00461903">
            <w:pPr>
              <w:rPr>
                <w:sz w:val="18"/>
              </w:rPr>
            </w:pPr>
          </w:p>
        </w:tc>
        <w:tc>
          <w:tcPr>
            <w:tcW w:w="3870" w:type="dxa"/>
          </w:tcPr>
          <w:p w:rsidR="004227EE" w:rsidRDefault="00461903" w:rsidP="00791599">
            <w:pPr>
              <w:spacing w:line="360" w:lineRule="auto"/>
            </w:pPr>
            <w:r>
              <w:t>Dr. C. Wood</w:t>
            </w:r>
            <w:r w:rsidR="007739E9">
              <w:t>, Frazer-Nash</w:t>
            </w:r>
          </w:p>
        </w:tc>
      </w:tr>
      <w:tr w:rsidR="004227EE" w:rsidTr="007739E9">
        <w:tc>
          <w:tcPr>
            <w:tcW w:w="1384" w:type="dxa"/>
          </w:tcPr>
          <w:p w:rsidR="004227EE" w:rsidRDefault="00461903" w:rsidP="00791599">
            <w:pPr>
              <w:spacing w:line="360" w:lineRule="auto"/>
            </w:pPr>
            <w:r>
              <w:t>16:50-17:30</w:t>
            </w:r>
          </w:p>
        </w:tc>
        <w:tc>
          <w:tcPr>
            <w:tcW w:w="4777" w:type="dxa"/>
          </w:tcPr>
          <w:p w:rsidR="007D352C" w:rsidRDefault="007D352C" w:rsidP="007D352C">
            <w:pPr>
              <w:rPr>
                <w:bCs/>
                <w:szCs w:val="23"/>
              </w:rPr>
            </w:pPr>
            <w:r w:rsidRPr="00B5158C">
              <w:rPr>
                <w:bCs/>
                <w:szCs w:val="23"/>
              </w:rPr>
              <w:t>Application of Industry Guidelines, CFD and frequency domain analyses to assess flow induced vibration risk in pipework’</w:t>
            </w:r>
          </w:p>
          <w:p w:rsidR="004227EE" w:rsidRPr="00310FEE" w:rsidRDefault="004227EE" w:rsidP="007D352C">
            <w:pPr>
              <w:rPr>
                <w:sz w:val="18"/>
              </w:rPr>
            </w:pPr>
          </w:p>
        </w:tc>
        <w:tc>
          <w:tcPr>
            <w:tcW w:w="3870" w:type="dxa"/>
          </w:tcPr>
          <w:p w:rsidR="004227EE" w:rsidRDefault="007D352C" w:rsidP="00791599">
            <w:pPr>
              <w:spacing w:line="360" w:lineRule="auto"/>
            </w:pPr>
            <w:r>
              <w:t>Dr. A. Graham</w:t>
            </w:r>
            <w:r w:rsidR="007739E9">
              <w:t>, CD-Adapco</w:t>
            </w:r>
          </w:p>
        </w:tc>
      </w:tr>
      <w:tr w:rsidR="004227EE" w:rsidTr="007739E9">
        <w:tc>
          <w:tcPr>
            <w:tcW w:w="1384" w:type="dxa"/>
          </w:tcPr>
          <w:p w:rsidR="004227EE" w:rsidRDefault="007D352C" w:rsidP="00791599">
            <w:pPr>
              <w:spacing w:line="360" w:lineRule="auto"/>
            </w:pPr>
            <w:r>
              <w:lastRenderedPageBreak/>
              <w:t>17:30-18:10</w:t>
            </w:r>
          </w:p>
        </w:tc>
        <w:tc>
          <w:tcPr>
            <w:tcW w:w="4777" w:type="dxa"/>
          </w:tcPr>
          <w:p w:rsidR="004227EE" w:rsidRDefault="007D352C" w:rsidP="00310FEE">
            <w:r>
              <w:t>Some elements on the probabilistic risk assessment methodology for industrial plan</w:t>
            </w:r>
            <w:r w:rsidR="00310FEE">
              <w:t>ts subject to external hazards.</w:t>
            </w:r>
          </w:p>
        </w:tc>
        <w:tc>
          <w:tcPr>
            <w:tcW w:w="3870" w:type="dxa"/>
          </w:tcPr>
          <w:p w:rsidR="004227EE" w:rsidRDefault="007D352C" w:rsidP="00791599">
            <w:pPr>
              <w:spacing w:line="360" w:lineRule="auto"/>
            </w:pPr>
            <w:r>
              <w:t>Dr. I. Zentner</w:t>
            </w:r>
            <w:r w:rsidR="007739E9">
              <w:t>, EDF</w:t>
            </w:r>
          </w:p>
        </w:tc>
      </w:tr>
      <w:tr w:rsidR="007D352C" w:rsidTr="007739E9">
        <w:tc>
          <w:tcPr>
            <w:tcW w:w="1384" w:type="dxa"/>
          </w:tcPr>
          <w:p w:rsidR="007D352C" w:rsidRDefault="007D352C" w:rsidP="00791599">
            <w:pPr>
              <w:spacing w:line="360" w:lineRule="auto"/>
            </w:pPr>
            <w:r>
              <w:t>CLOSE</w:t>
            </w:r>
          </w:p>
        </w:tc>
        <w:tc>
          <w:tcPr>
            <w:tcW w:w="4777" w:type="dxa"/>
          </w:tcPr>
          <w:p w:rsidR="007D352C" w:rsidRDefault="007D352C" w:rsidP="007D352C"/>
        </w:tc>
        <w:tc>
          <w:tcPr>
            <w:tcW w:w="3870" w:type="dxa"/>
          </w:tcPr>
          <w:p w:rsidR="007D352C" w:rsidRDefault="007D352C" w:rsidP="00791599">
            <w:pPr>
              <w:spacing w:line="360" w:lineRule="auto"/>
            </w:pPr>
          </w:p>
        </w:tc>
      </w:tr>
    </w:tbl>
    <w:p w:rsidR="007D352C" w:rsidRDefault="007D352C" w:rsidP="00791599">
      <w:pPr>
        <w:spacing w:after="0" w:line="360" w:lineRule="auto"/>
      </w:pPr>
    </w:p>
    <w:p w:rsidR="001F6A46" w:rsidRDefault="001F6A46" w:rsidP="007739E9"/>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none" w:sz="0" w:space="0" w:color="auto"/>
          <w:insideV w:val="none" w:sz="0" w:space="0" w:color="auto"/>
        </w:tblBorders>
        <w:tblLook w:val="04A0" w:firstRow="1" w:lastRow="0" w:firstColumn="1" w:lastColumn="0" w:noHBand="0" w:noVBand="1"/>
      </w:tblPr>
      <w:tblGrid>
        <w:gridCol w:w="1384"/>
        <w:gridCol w:w="4777"/>
        <w:gridCol w:w="3081"/>
      </w:tblGrid>
      <w:tr w:rsidR="007D352C" w:rsidTr="00C82C46">
        <w:tc>
          <w:tcPr>
            <w:tcW w:w="1384" w:type="dxa"/>
            <w:shd w:val="clear" w:color="auto" w:fill="548DD4" w:themeFill="text2" w:themeFillTint="99"/>
          </w:tcPr>
          <w:p w:rsidR="007D352C" w:rsidRDefault="007D352C" w:rsidP="00461903">
            <w:pPr>
              <w:spacing w:line="360" w:lineRule="auto"/>
            </w:pPr>
          </w:p>
        </w:tc>
        <w:tc>
          <w:tcPr>
            <w:tcW w:w="4777" w:type="dxa"/>
            <w:shd w:val="clear" w:color="auto" w:fill="548DD4" w:themeFill="text2" w:themeFillTint="99"/>
          </w:tcPr>
          <w:p w:rsidR="007D352C" w:rsidRDefault="007D352C" w:rsidP="00791599">
            <w:pPr>
              <w:spacing w:line="360" w:lineRule="auto"/>
              <w:rPr>
                <w:b/>
              </w:rPr>
            </w:pPr>
          </w:p>
        </w:tc>
        <w:tc>
          <w:tcPr>
            <w:tcW w:w="3081" w:type="dxa"/>
            <w:shd w:val="clear" w:color="auto" w:fill="548DD4" w:themeFill="text2" w:themeFillTint="99"/>
          </w:tcPr>
          <w:p w:rsidR="007D352C" w:rsidRDefault="007D352C" w:rsidP="00791599">
            <w:pPr>
              <w:spacing w:line="360" w:lineRule="auto"/>
            </w:pPr>
          </w:p>
        </w:tc>
      </w:tr>
      <w:tr w:rsidR="007D352C" w:rsidTr="00C82C46">
        <w:tc>
          <w:tcPr>
            <w:tcW w:w="1384" w:type="dxa"/>
          </w:tcPr>
          <w:p w:rsidR="007D352C" w:rsidRDefault="007D352C" w:rsidP="00461903">
            <w:pPr>
              <w:spacing w:line="360" w:lineRule="auto"/>
            </w:pPr>
          </w:p>
        </w:tc>
        <w:tc>
          <w:tcPr>
            <w:tcW w:w="4777" w:type="dxa"/>
          </w:tcPr>
          <w:p w:rsidR="007D352C" w:rsidRDefault="007D352C" w:rsidP="007D352C">
            <w:pPr>
              <w:spacing w:line="360" w:lineRule="auto"/>
              <w:jc w:val="center"/>
            </w:pPr>
            <w:r>
              <w:t>21 April 2016</w:t>
            </w:r>
          </w:p>
          <w:p w:rsidR="007D352C" w:rsidRDefault="007D352C" w:rsidP="007D352C">
            <w:pPr>
              <w:spacing w:line="360" w:lineRule="auto"/>
              <w:jc w:val="center"/>
            </w:pPr>
            <w:r>
              <w:t xml:space="preserve">Subsea Operations, </w:t>
            </w:r>
          </w:p>
          <w:p w:rsidR="007D352C" w:rsidRDefault="007D352C" w:rsidP="007D352C">
            <w:pPr>
              <w:spacing w:line="360" w:lineRule="auto"/>
              <w:jc w:val="center"/>
            </w:pPr>
            <w:r>
              <w:t>RT CFD</w:t>
            </w:r>
          </w:p>
          <w:p w:rsidR="007D352C" w:rsidRDefault="007D352C" w:rsidP="007D352C">
            <w:pPr>
              <w:spacing w:line="360" w:lineRule="auto"/>
              <w:jc w:val="center"/>
            </w:pPr>
            <w:r>
              <w:t>Roundtable Discussion (</w:t>
            </w:r>
            <w:r w:rsidR="00C82C46">
              <w:t xml:space="preserve">O&amp;G </w:t>
            </w:r>
            <w:r>
              <w:t xml:space="preserve">Bulletin </w:t>
            </w:r>
            <w:r w:rsidR="00C82C46">
              <w:t>&amp;</w:t>
            </w:r>
            <w:r>
              <w:t xml:space="preserve"> EU Project)</w:t>
            </w:r>
          </w:p>
          <w:p w:rsidR="007D352C" w:rsidRDefault="007D352C" w:rsidP="007D352C">
            <w:pPr>
              <w:spacing w:line="360" w:lineRule="auto"/>
              <w:rPr>
                <w:b/>
              </w:rPr>
            </w:pPr>
          </w:p>
        </w:tc>
        <w:tc>
          <w:tcPr>
            <w:tcW w:w="3081" w:type="dxa"/>
          </w:tcPr>
          <w:p w:rsidR="007D352C" w:rsidRDefault="007D352C" w:rsidP="00791599">
            <w:pPr>
              <w:spacing w:line="360" w:lineRule="auto"/>
            </w:pPr>
          </w:p>
        </w:tc>
      </w:tr>
      <w:tr w:rsidR="001F6A46" w:rsidTr="00C82C46">
        <w:tc>
          <w:tcPr>
            <w:tcW w:w="1384" w:type="dxa"/>
          </w:tcPr>
          <w:p w:rsidR="001F6A46" w:rsidRDefault="001F6A46" w:rsidP="00461903">
            <w:pPr>
              <w:spacing w:line="360" w:lineRule="auto"/>
            </w:pPr>
            <w:r>
              <w:t>8:</w:t>
            </w:r>
            <w:r w:rsidR="00461903">
              <w:t>30-8:45</w:t>
            </w:r>
          </w:p>
        </w:tc>
        <w:tc>
          <w:tcPr>
            <w:tcW w:w="4777" w:type="dxa"/>
          </w:tcPr>
          <w:p w:rsidR="001F6A46" w:rsidRPr="001F6A46" w:rsidRDefault="00461903" w:rsidP="00791599">
            <w:pPr>
              <w:spacing w:line="360" w:lineRule="auto"/>
              <w:rPr>
                <w:b/>
              </w:rPr>
            </w:pPr>
            <w:r>
              <w:rPr>
                <w:b/>
              </w:rPr>
              <w:t>Coffee and registration</w:t>
            </w:r>
          </w:p>
        </w:tc>
        <w:tc>
          <w:tcPr>
            <w:tcW w:w="3081" w:type="dxa"/>
          </w:tcPr>
          <w:p w:rsidR="001F6A46" w:rsidRDefault="001F6A46" w:rsidP="00791599">
            <w:pPr>
              <w:spacing w:line="360" w:lineRule="auto"/>
            </w:pPr>
          </w:p>
        </w:tc>
      </w:tr>
      <w:tr w:rsidR="001F6A46" w:rsidTr="00C82C46">
        <w:tc>
          <w:tcPr>
            <w:tcW w:w="1384" w:type="dxa"/>
          </w:tcPr>
          <w:p w:rsidR="001F6A46" w:rsidRDefault="001F6A46" w:rsidP="00791599">
            <w:pPr>
              <w:spacing w:line="360" w:lineRule="auto"/>
            </w:pPr>
          </w:p>
        </w:tc>
        <w:tc>
          <w:tcPr>
            <w:tcW w:w="4777" w:type="dxa"/>
          </w:tcPr>
          <w:p w:rsidR="001F6A46" w:rsidRDefault="00461903" w:rsidP="00461903">
            <w:r w:rsidRPr="001F6A46">
              <w:rPr>
                <w:b/>
              </w:rPr>
              <w:t>Subsea Operations</w:t>
            </w:r>
          </w:p>
        </w:tc>
        <w:tc>
          <w:tcPr>
            <w:tcW w:w="3081" w:type="dxa"/>
          </w:tcPr>
          <w:p w:rsidR="001F6A46" w:rsidRDefault="001F6A46" w:rsidP="00791599">
            <w:pPr>
              <w:spacing w:line="360" w:lineRule="auto"/>
            </w:pPr>
          </w:p>
        </w:tc>
      </w:tr>
      <w:tr w:rsidR="001F6A46" w:rsidTr="00C82C46">
        <w:tc>
          <w:tcPr>
            <w:tcW w:w="1384" w:type="dxa"/>
          </w:tcPr>
          <w:p w:rsidR="001F6A46" w:rsidRDefault="00461903" w:rsidP="00461903">
            <w:pPr>
              <w:spacing w:line="360" w:lineRule="auto"/>
            </w:pPr>
            <w:r>
              <w:t>8:50-9:30</w:t>
            </w:r>
          </w:p>
        </w:tc>
        <w:tc>
          <w:tcPr>
            <w:tcW w:w="4777" w:type="dxa"/>
          </w:tcPr>
          <w:p w:rsidR="001F6A46" w:rsidRDefault="00461903" w:rsidP="00461903">
            <w:r>
              <w:t>Thermal Design Optimization of Subsea Equipment Through Compact Modelling</w:t>
            </w:r>
          </w:p>
          <w:p w:rsidR="00072BF0" w:rsidRDefault="00072BF0" w:rsidP="00461903"/>
        </w:tc>
        <w:tc>
          <w:tcPr>
            <w:tcW w:w="3081" w:type="dxa"/>
          </w:tcPr>
          <w:p w:rsidR="001F6A46" w:rsidRDefault="007D352C" w:rsidP="00791599">
            <w:pPr>
              <w:spacing w:line="360" w:lineRule="auto"/>
            </w:pPr>
            <w:r>
              <w:t>Mr R. Rouzairol</w:t>
            </w:r>
            <w:r w:rsidR="007739E9">
              <w:t>, Forsys Subsea</w:t>
            </w:r>
          </w:p>
        </w:tc>
      </w:tr>
      <w:tr w:rsidR="001F6A46" w:rsidTr="00C82C46">
        <w:tc>
          <w:tcPr>
            <w:tcW w:w="1384" w:type="dxa"/>
          </w:tcPr>
          <w:p w:rsidR="001F6A46" w:rsidRDefault="007D352C" w:rsidP="00791599">
            <w:pPr>
              <w:spacing w:line="360" w:lineRule="auto"/>
            </w:pPr>
            <w:r>
              <w:t>9:30-10:10</w:t>
            </w:r>
          </w:p>
        </w:tc>
        <w:tc>
          <w:tcPr>
            <w:tcW w:w="4777" w:type="dxa"/>
          </w:tcPr>
          <w:p w:rsidR="001F6A46" w:rsidRDefault="007D352C" w:rsidP="00791599">
            <w:pPr>
              <w:spacing w:line="360" w:lineRule="auto"/>
            </w:pPr>
            <w:r>
              <w:t>Flow Induced Vibration in Pipes</w:t>
            </w:r>
          </w:p>
        </w:tc>
        <w:tc>
          <w:tcPr>
            <w:tcW w:w="3081" w:type="dxa"/>
          </w:tcPr>
          <w:p w:rsidR="001F6A46" w:rsidRDefault="007D352C" w:rsidP="00791599">
            <w:pPr>
              <w:spacing w:line="360" w:lineRule="auto"/>
            </w:pPr>
            <w:r>
              <w:t>Mr. K. Jellgren</w:t>
            </w:r>
            <w:r w:rsidR="007739E9">
              <w:t>, Kongsberg</w:t>
            </w:r>
          </w:p>
        </w:tc>
      </w:tr>
      <w:tr w:rsidR="001F6A46" w:rsidTr="00C82C46">
        <w:tc>
          <w:tcPr>
            <w:tcW w:w="1384" w:type="dxa"/>
          </w:tcPr>
          <w:p w:rsidR="001F6A46" w:rsidRDefault="007D352C" w:rsidP="00791599">
            <w:pPr>
              <w:spacing w:line="360" w:lineRule="auto"/>
            </w:pPr>
            <w:r>
              <w:t>10:10-10:30</w:t>
            </w:r>
          </w:p>
        </w:tc>
        <w:tc>
          <w:tcPr>
            <w:tcW w:w="4777" w:type="dxa"/>
          </w:tcPr>
          <w:p w:rsidR="001F6A46" w:rsidRDefault="007D352C" w:rsidP="00791599">
            <w:pPr>
              <w:spacing w:line="360" w:lineRule="auto"/>
            </w:pPr>
            <w:r>
              <w:t>Refreshments</w:t>
            </w:r>
          </w:p>
        </w:tc>
        <w:tc>
          <w:tcPr>
            <w:tcW w:w="3081" w:type="dxa"/>
          </w:tcPr>
          <w:p w:rsidR="001F6A46" w:rsidRDefault="001F6A46" w:rsidP="00791599">
            <w:pPr>
              <w:spacing w:line="360" w:lineRule="auto"/>
            </w:pPr>
          </w:p>
        </w:tc>
      </w:tr>
      <w:tr w:rsidR="001F6A46" w:rsidTr="00C82C46">
        <w:tc>
          <w:tcPr>
            <w:tcW w:w="1384" w:type="dxa"/>
          </w:tcPr>
          <w:p w:rsidR="001F6A46" w:rsidRDefault="007D352C" w:rsidP="00791599">
            <w:pPr>
              <w:spacing w:line="360" w:lineRule="auto"/>
            </w:pPr>
            <w:r>
              <w:t>10:30-11:10</w:t>
            </w:r>
          </w:p>
        </w:tc>
        <w:tc>
          <w:tcPr>
            <w:tcW w:w="4777" w:type="dxa"/>
          </w:tcPr>
          <w:p w:rsidR="00AB38CC" w:rsidRDefault="007D352C" w:rsidP="007D352C">
            <w:pPr>
              <w:rPr>
                <w:color w:val="000000"/>
              </w:rPr>
            </w:pPr>
            <w:r>
              <w:rPr>
                <w:color w:val="000000"/>
              </w:rPr>
              <w:t>Advances in Computatio</w:t>
            </w:r>
            <w:bookmarkStart w:id="0" w:name="_GoBack"/>
            <w:bookmarkEnd w:id="0"/>
            <w:r>
              <w:rPr>
                <w:color w:val="000000"/>
              </w:rPr>
              <w:t xml:space="preserve">nal Analysis for Subsea Equipment </w:t>
            </w:r>
          </w:p>
          <w:p w:rsidR="00711520" w:rsidRPr="00711520" w:rsidRDefault="00711520" w:rsidP="007D352C">
            <w:pPr>
              <w:rPr>
                <w:color w:val="000000"/>
              </w:rPr>
            </w:pPr>
          </w:p>
        </w:tc>
        <w:tc>
          <w:tcPr>
            <w:tcW w:w="3081" w:type="dxa"/>
          </w:tcPr>
          <w:p w:rsidR="001F6A46" w:rsidRDefault="007D352C" w:rsidP="00791599">
            <w:pPr>
              <w:spacing w:line="360" w:lineRule="auto"/>
            </w:pPr>
            <w:r>
              <w:t>Dr. A. Haidari</w:t>
            </w:r>
            <w:r w:rsidR="007739E9">
              <w:t>, ANSYS</w:t>
            </w:r>
          </w:p>
        </w:tc>
      </w:tr>
      <w:tr w:rsidR="00711520" w:rsidTr="00C82C46">
        <w:tc>
          <w:tcPr>
            <w:tcW w:w="1384" w:type="dxa"/>
          </w:tcPr>
          <w:p w:rsidR="00711520" w:rsidRDefault="00711520" w:rsidP="00791599">
            <w:pPr>
              <w:spacing w:line="360" w:lineRule="auto"/>
            </w:pPr>
          </w:p>
        </w:tc>
        <w:tc>
          <w:tcPr>
            <w:tcW w:w="4777" w:type="dxa"/>
          </w:tcPr>
          <w:p w:rsidR="00711520" w:rsidRDefault="00711520" w:rsidP="007D352C">
            <w:pPr>
              <w:rPr>
                <w:color w:val="000000"/>
              </w:rPr>
            </w:pPr>
            <w:r w:rsidRPr="00AB38CC">
              <w:rPr>
                <w:b/>
              </w:rPr>
              <w:t>Real-Time CFD</w:t>
            </w:r>
          </w:p>
        </w:tc>
        <w:tc>
          <w:tcPr>
            <w:tcW w:w="3081" w:type="dxa"/>
          </w:tcPr>
          <w:p w:rsidR="00711520" w:rsidRDefault="00711520" w:rsidP="00791599">
            <w:pPr>
              <w:spacing w:line="360" w:lineRule="auto"/>
            </w:pPr>
          </w:p>
        </w:tc>
      </w:tr>
      <w:tr w:rsidR="001F6A46" w:rsidTr="00C82C46">
        <w:tc>
          <w:tcPr>
            <w:tcW w:w="1384" w:type="dxa"/>
          </w:tcPr>
          <w:p w:rsidR="001F6A46" w:rsidRDefault="007D352C" w:rsidP="000E3FD4">
            <w:pPr>
              <w:spacing w:line="360" w:lineRule="auto"/>
            </w:pPr>
            <w:r>
              <w:t>11:10-12:</w:t>
            </w:r>
            <w:r w:rsidR="000E3FD4">
              <w:t>3</w:t>
            </w:r>
            <w:r>
              <w:t>0</w:t>
            </w:r>
          </w:p>
        </w:tc>
        <w:tc>
          <w:tcPr>
            <w:tcW w:w="4777" w:type="dxa"/>
          </w:tcPr>
          <w:p w:rsidR="007D352C" w:rsidRDefault="007D352C" w:rsidP="007D352C">
            <w:pPr>
              <w:rPr>
                <w:bCs/>
              </w:rPr>
            </w:pPr>
            <w:r w:rsidRPr="005B5D75">
              <w:rPr>
                <w:bCs/>
              </w:rPr>
              <w:t>The Potential for Real-ti</w:t>
            </w:r>
            <w:r>
              <w:rPr>
                <w:bCs/>
              </w:rPr>
              <w:t>me Computational Fluid Dynamics</w:t>
            </w:r>
          </w:p>
          <w:p w:rsidR="00072BF0" w:rsidRDefault="00072BF0" w:rsidP="007D352C"/>
        </w:tc>
        <w:tc>
          <w:tcPr>
            <w:tcW w:w="3081" w:type="dxa"/>
          </w:tcPr>
          <w:p w:rsidR="001F6A46" w:rsidRDefault="007D352C" w:rsidP="00791599">
            <w:pPr>
              <w:spacing w:line="360" w:lineRule="auto"/>
            </w:pPr>
            <w:r>
              <w:t>Dr. A. Revell</w:t>
            </w:r>
            <w:r w:rsidR="007739E9">
              <w:t>, U. Manchester</w:t>
            </w:r>
          </w:p>
        </w:tc>
      </w:tr>
      <w:tr w:rsidR="007D352C" w:rsidTr="00C82C46">
        <w:tc>
          <w:tcPr>
            <w:tcW w:w="1384" w:type="dxa"/>
          </w:tcPr>
          <w:p w:rsidR="007D352C" w:rsidRDefault="007D352C" w:rsidP="000E3FD4">
            <w:pPr>
              <w:spacing w:line="360" w:lineRule="auto"/>
            </w:pPr>
            <w:r>
              <w:t>12:</w:t>
            </w:r>
            <w:r w:rsidR="000E3FD4">
              <w:t>3</w:t>
            </w:r>
            <w:r>
              <w:t>0-13:</w:t>
            </w:r>
            <w:r w:rsidR="000E3FD4">
              <w:t>30</w:t>
            </w:r>
          </w:p>
        </w:tc>
        <w:tc>
          <w:tcPr>
            <w:tcW w:w="4777" w:type="dxa"/>
          </w:tcPr>
          <w:p w:rsidR="007D352C" w:rsidRDefault="007D352C" w:rsidP="007D352C">
            <w:pPr>
              <w:spacing w:line="360" w:lineRule="auto"/>
            </w:pPr>
            <w:r>
              <w:t xml:space="preserve">Roundtable Discussion  </w:t>
            </w:r>
          </w:p>
          <w:p w:rsidR="007D352C" w:rsidRDefault="007D352C" w:rsidP="007D352C">
            <w:pPr>
              <w:spacing w:line="360" w:lineRule="auto"/>
            </w:pPr>
            <w:r>
              <w:t>ERCOFTAC Bulletin 2017 (first iteration)</w:t>
            </w:r>
          </w:p>
          <w:p w:rsidR="007D352C" w:rsidRDefault="007D352C" w:rsidP="007D352C">
            <w:pPr>
              <w:spacing w:line="360" w:lineRule="auto"/>
            </w:pPr>
            <w:r>
              <w:t xml:space="preserve"> &amp; </w:t>
            </w:r>
          </w:p>
          <w:p w:rsidR="00072BF0" w:rsidRDefault="007D352C" w:rsidP="007D352C">
            <w:pPr>
              <w:spacing w:line="360" w:lineRule="auto"/>
            </w:pPr>
            <w:r>
              <w:t xml:space="preserve">EU Project Collaboration </w:t>
            </w:r>
          </w:p>
          <w:p w:rsidR="007D352C" w:rsidRDefault="007D352C" w:rsidP="007D352C">
            <w:pPr>
              <w:spacing w:line="360" w:lineRule="auto"/>
            </w:pPr>
            <w:r>
              <w:t>(capturing views and ideas)</w:t>
            </w:r>
          </w:p>
        </w:tc>
        <w:tc>
          <w:tcPr>
            <w:tcW w:w="3081" w:type="dxa"/>
          </w:tcPr>
          <w:p w:rsidR="007D352C" w:rsidRDefault="007D352C" w:rsidP="00791599">
            <w:pPr>
              <w:spacing w:line="360" w:lineRule="auto"/>
            </w:pPr>
          </w:p>
        </w:tc>
      </w:tr>
      <w:tr w:rsidR="001F6A46" w:rsidTr="00C82C46">
        <w:tc>
          <w:tcPr>
            <w:tcW w:w="1384" w:type="dxa"/>
          </w:tcPr>
          <w:p w:rsidR="001F6A46" w:rsidRDefault="007D352C" w:rsidP="000E3FD4">
            <w:pPr>
              <w:spacing w:line="360" w:lineRule="auto"/>
            </w:pPr>
            <w:r>
              <w:t>13:</w:t>
            </w:r>
            <w:r w:rsidR="000E3FD4">
              <w:t>3</w:t>
            </w:r>
            <w:r>
              <w:t>0-14:</w:t>
            </w:r>
            <w:r w:rsidR="000E3FD4">
              <w:t>30</w:t>
            </w:r>
          </w:p>
        </w:tc>
        <w:tc>
          <w:tcPr>
            <w:tcW w:w="4777" w:type="dxa"/>
          </w:tcPr>
          <w:p w:rsidR="001F6A46" w:rsidRDefault="007D352C" w:rsidP="00791599">
            <w:pPr>
              <w:spacing w:line="360" w:lineRule="auto"/>
            </w:pPr>
            <w:r>
              <w:t>Lunch</w:t>
            </w:r>
          </w:p>
        </w:tc>
        <w:tc>
          <w:tcPr>
            <w:tcW w:w="3081" w:type="dxa"/>
          </w:tcPr>
          <w:p w:rsidR="001F6A46" w:rsidRDefault="001F6A46" w:rsidP="00791599">
            <w:pPr>
              <w:spacing w:line="360" w:lineRule="auto"/>
            </w:pPr>
          </w:p>
        </w:tc>
      </w:tr>
      <w:tr w:rsidR="007D352C" w:rsidTr="00C82C46">
        <w:tc>
          <w:tcPr>
            <w:tcW w:w="1384" w:type="dxa"/>
          </w:tcPr>
          <w:p w:rsidR="007D352C" w:rsidRDefault="007D352C" w:rsidP="00791599">
            <w:pPr>
              <w:spacing w:line="360" w:lineRule="auto"/>
            </w:pPr>
            <w:r>
              <w:t>Close</w:t>
            </w:r>
          </w:p>
        </w:tc>
        <w:tc>
          <w:tcPr>
            <w:tcW w:w="4777" w:type="dxa"/>
          </w:tcPr>
          <w:p w:rsidR="007D352C" w:rsidRDefault="007D352C" w:rsidP="00791599">
            <w:pPr>
              <w:spacing w:line="360" w:lineRule="auto"/>
            </w:pPr>
          </w:p>
        </w:tc>
        <w:tc>
          <w:tcPr>
            <w:tcW w:w="3081" w:type="dxa"/>
          </w:tcPr>
          <w:p w:rsidR="007D352C" w:rsidRDefault="007D352C" w:rsidP="00791599">
            <w:pPr>
              <w:spacing w:line="360" w:lineRule="auto"/>
            </w:pPr>
          </w:p>
        </w:tc>
      </w:tr>
      <w:tr w:rsidR="007D352C" w:rsidTr="00C82C46">
        <w:tc>
          <w:tcPr>
            <w:tcW w:w="9242" w:type="dxa"/>
            <w:gridSpan w:val="3"/>
            <w:shd w:val="clear" w:color="auto" w:fill="548DD4" w:themeFill="text2" w:themeFillTint="99"/>
          </w:tcPr>
          <w:p w:rsidR="007D352C" w:rsidRDefault="007D352C" w:rsidP="00791599">
            <w:pPr>
              <w:spacing w:line="360" w:lineRule="auto"/>
            </w:pPr>
          </w:p>
        </w:tc>
      </w:tr>
    </w:tbl>
    <w:p w:rsidR="001F6A46" w:rsidRDefault="001F6A46" w:rsidP="00791599">
      <w:pPr>
        <w:spacing w:after="0" w:line="360" w:lineRule="auto"/>
      </w:pPr>
    </w:p>
    <w:p w:rsidR="00791599" w:rsidRDefault="00791599" w:rsidP="00791599">
      <w:pPr>
        <w:spacing w:after="0" w:line="360" w:lineRule="auto"/>
      </w:pPr>
    </w:p>
    <w:p w:rsidR="00791599" w:rsidRDefault="00791599" w:rsidP="00791599">
      <w:pPr>
        <w:spacing w:after="0" w:line="360" w:lineRule="auto"/>
      </w:pPr>
    </w:p>
    <w:sectPr w:rsidR="00791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MBX12">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599"/>
    <w:rsid w:val="00021ED2"/>
    <w:rsid w:val="00072BF0"/>
    <w:rsid w:val="00094899"/>
    <w:rsid w:val="000E3FD4"/>
    <w:rsid w:val="001127C8"/>
    <w:rsid w:val="001F6A46"/>
    <w:rsid w:val="00214734"/>
    <w:rsid w:val="00266E59"/>
    <w:rsid w:val="002D7677"/>
    <w:rsid w:val="00310FEE"/>
    <w:rsid w:val="003B5D9B"/>
    <w:rsid w:val="004227EE"/>
    <w:rsid w:val="00461903"/>
    <w:rsid w:val="004E6851"/>
    <w:rsid w:val="005B5D75"/>
    <w:rsid w:val="006514FF"/>
    <w:rsid w:val="006D5672"/>
    <w:rsid w:val="006E58DA"/>
    <w:rsid w:val="00711520"/>
    <w:rsid w:val="007739E9"/>
    <w:rsid w:val="00791599"/>
    <w:rsid w:val="0079643D"/>
    <w:rsid w:val="007D352C"/>
    <w:rsid w:val="00847E3C"/>
    <w:rsid w:val="00916AB0"/>
    <w:rsid w:val="00970B41"/>
    <w:rsid w:val="00A57B10"/>
    <w:rsid w:val="00AB38CC"/>
    <w:rsid w:val="00AF1117"/>
    <w:rsid w:val="00C22AD1"/>
    <w:rsid w:val="00C82C46"/>
    <w:rsid w:val="00D84633"/>
    <w:rsid w:val="00DD0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159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9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7B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57B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159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9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7B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57B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562">
      <w:bodyDiv w:val="1"/>
      <w:marLeft w:val="0"/>
      <w:marRight w:val="0"/>
      <w:marTop w:val="0"/>
      <w:marBottom w:val="0"/>
      <w:divBdr>
        <w:top w:val="none" w:sz="0" w:space="0" w:color="auto"/>
        <w:left w:val="none" w:sz="0" w:space="0" w:color="auto"/>
        <w:bottom w:val="none" w:sz="0" w:space="0" w:color="auto"/>
        <w:right w:val="none" w:sz="0" w:space="0" w:color="auto"/>
      </w:divBdr>
    </w:div>
    <w:div w:id="154274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res</dc:creator>
  <cp:lastModifiedBy> res</cp:lastModifiedBy>
  <cp:revision>6</cp:revision>
  <cp:lastPrinted>2016-04-07T09:54:00Z</cp:lastPrinted>
  <dcterms:created xsi:type="dcterms:W3CDTF">2016-04-11T12:22:00Z</dcterms:created>
  <dcterms:modified xsi:type="dcterms:W3CDTF">2016-04-14T11:29:00Z</dcterms:modified>
</cp:coreProperties>
</file>